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C51" w:rsidRPr="00B31071" w:rsidRDefault="00B57C51" w:rsidP="00B57C51">
      <w:pPr>
        <w:rPr>
          <w:rStyle w:val="a3"/>
          <w:rFonts w:ascii="Times New Roman" w:hAnsi="Times New Roman" w:cs="Times New Roman"/>
          <w:sz w:val="32"/>
          <w:szCs w:val="32"/>
        </w:rPr>
      </w:pPr>
      <w:r w:rsidRPr="00B31071">
        <w:rPr>
          <w:rStyle w:val="a3"/>
          <w:rFonts w:ascii="Times New Roman" w:hAnsi="Times New Roman" w:cs="Times New Roman"/>
          <w:sz w:val="32"/>
          <w:szCs w:val="32"/>
        </w:rPr>
        <w:t>Рота-V-</w:t>
      </w:r>
      <w:proofErr w:type="spellStart"/>
      <w:r w:rsidRPr="00B31071">
        <w:rPr>
          <w:rStyle w:val="a3"/>
          <w:rFonts w:ascii="Times New Roman" w:hAnsi="Times New Roman" w:cs="Times New Roman"/>
          <w:sz w:val="32"/>
          <w:szCs w:val="32"/>
        </w:rPr>
        <w:t>Эйд</w:t>
      </w:r>
      <w:proofErr w:type="spellEnd"/>
    </w:p>
    <w:p w:rsidR="00B57C51" w:rsidRPr="00B57C51" w:rsidRDefault="00B57C51" w:rsidP="00B57C51">
      <w:pPr>
        <w:rPr>
          <w:rFonts w:ascii="Times New Roman" w:hAnsi="Times New Roman" w:cs="Times New Roman"/>
          <w:sz w:val="28"/>
          <w:szCs w:val="28"/>
        </w:rPr>
      </w:pPr>
      <w:r w:rsidRPr="0093326D">
        <w:rPr>
          <w:rStyle w:val="a3"/>
          <w:rFonts w:ascii="Times New Roman" w:hAnsi="Times New Roman" w:cs="Times New Roman"/>
          <w:sz w:val="28"/>
          <w:szCs w:val="28"/>
        </w:rPr>
        <w:t>Рота-V-</w:t>
      </w:r>
      <w:proofErr w:type="spellStart"/>
      <w:r w:rsidRPr="0093326D">
        <w:rPr>
          <w:rStyle w:val="a3"/>
          <w:rFonts w:ascii="Times New Roman" w:hAnsi="Times New Roman" w:cs="Times New Roman"/>
          <w:sz w:val="28"/>
          <w:szCs w:val="28"/>
        </w:rPr>
        <w:t>Эйд</w:t>
      </w:r>
      <w:proofErr w:type="spellEnd"/>
      <w:r w:rsidRPr="0093326D">
        <w:rPr>
          <w:rStyle w:val="a3"/>
          <w:rFonts w:ascii="Times New Roman" w:hAnsi="Times New Roman" w:cs="Times New Roman"/>
          <w:sz w:val="28"/>
          <w:szCs w:val="28"/>
        </w:rPr>
        <w:t>®</w:t>
      </w:r>
      <w:r w:rsidRPr="0093326D">
        <w:rPr>
          <w:rFonts w:ascii="Times New Roman" w:hAnsi="Times New Roman" w:cs="Times New Roman"/>
          <w:sz w:val="28"/>
          <w:szCs w:val="28"/>
        </w:rPr>
        <w:t xml:space="preserve"> — это живая пятивалентная пероральная вакцина (производство Индия) для защиты младенцев от </w:t>
      </w:r>
      <w:proofErr w:type="spellStart"/>
      <w:r w:rsidRPr="0093326D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ротавирусной</w:t>
      </w:r>
      <w:proofErr w:type="spellEnd"/>
      <w:r w:rsidRPr="0093326D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инфекции</w:t>
      </w:r>
      <w:r w:rsidRPr="0093326D">
        <w:rPr>
          <w:rFonts w:ascii="Times New Roman" w:hAnsi="Times New Roman" w:cs="Times New Roman"/>
          <w:sz w:val="28"/>
          <w:szCs w:val="28"/>
        </w:rPr>
        <w:t xml:space="preserve">. Она защищает от 5 самых распространенных серотипов </w:t>
      </w:r>
      <w:proofErr w:type="spellStart"/>
      <w:r w:rsidRPr="0093326D">
        <w:rPr>
          <w:rFonts w:ascii="Times New Roman" w:hAnsi="Times New Roman" w:cs="Times New Roman"/>
          <w:sz w:val="28"/>
          <w:szCs w:val="28"/>
        </w:rPr>
        <w:t>ротавируса</w:t>
      </w:r>
      <w:proofErr w:type="spellEnd"/>
      <w:r w:rsidRPr="0093326D">
        <w:rPr>
          <w:rFonts w:ascii="Times New Roman" w:hAnsi="Times New Roman" w:cs="Times New Roman"/>
          <w:sz w:val="28"/>
          <w:szCs w:val="28"/>
        </w:rPr>
        <w:t xml:space="preserve"> (G1, G2, G3, G4, G9), которые вызывают у детей тяжелые гастроэнтериты с опасным обезвоживанием.</w:t>
      </w:r>
    </w:p>
    <w:p w:rsidR="00B57C51" w:rsidRPr="0093326D" w:rsidRDefault="00B57C51" w:rsidP="00B57C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2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933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Активная профилактика </w:t>
      </w:r>
      <w:proofErr w:type="spellStart"/>
      <w:r w:rsidRPr="0093326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ротавирусного</w:t>
      </w:r>
      <w:proofErr w:type="spellEnd"/>
      <w:r w:rsidRPr="00933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гастроэнтерита.</w:t>
      </w:r>
    </w:p>
    <w:p w:rsidR="00B57C51" w:rsidRPr="0093326D" w:rsidRDefault="00B57C51" w:rsidP="00B57C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2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Возрастные рамки (очень важно!):</w:t>
      </w:r>
      <w:r w:rsidRPr="00933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Вакцина имеет жесткие возрастные ограничения. Согласно классической схеме, её применяют только для детей </w:t>
      </w:r>
      <w:r w:rsidRPr="009332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6 до 32 недель жизни</w:t>
      </w:r>
      <w:r w:rsidRPr="009332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7C51" w:rsidRPr="0093326D" w:rsidRDefault="00B57C51" w:rsidP="00B57C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2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 вакцинации:</w:t>
      </w:r>
      <w:r w:rsidRPr="00933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 состоит из </w:t>
      </w:r>
      <w:r w:rsidRPr="009332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доз</w:t>
      </w:r>
      <w:r w:rsidRPr="00933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интервалом не менее </w:t>
      </w:r>
      <w:r w:rsidRPr="009332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недель</w:t>
      </w:r>
      <w:r w:rsidRPr="00933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ними.</w:t>
      </w:r>
    </w:p>
    <w:p w:rsidR="00B57C51" w:rsidRPr="0093326D" w:rsidRDefault="00B57C51" w:rsidP="00B57C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2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3326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-я доза:</w:t>
      </w:r>
      <w:r w:rsidRPr="00933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оптимально в 2 месяца (допустимо с 6 недель, крайний срок начала по стандартной схеме — до 15 недель).</w:t>
      </w:r>
    </w:p>
    <w:p w:rsidR="00B57C51" w:rsidRPr="0093326D" w:rsidRDefault="00B57C51" w:rsidP="00B57C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326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2-я доза:</w:t>
      </w:r>
      <w:r w:rsidRPr="00933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3 месяца.</w:t>
      </w:r>
    </w:p>
    <w:p w:rsidR="00B57C51" w:rsidRDefault="00B57C51" w:rsidP="00B57C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326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3-я доза:</w:t>
      </w:r>
      <w:r w:rsidRPr="00933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4,5 месяца (все три дозы должны быть получены строго до 32-й недели жизни).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C51"/>
    <w:rsid w:val="00B446F6"/>
    <w:rsid w:val="00B5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7A6D7-8D30-4038-BA0B-2302072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7C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2026-09-29T05:46:00Z</dcterms:created>
  <dcterms:modified xsi:type="dcterms:W3CDTF">2026-09-29T05:46:00Z</dcterms:modified>
</cp:coreProperties>
</file>