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AE5" w:rsidRDefault="005B6AE5" w:rsidP="005B6AE5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510BB">
        <w:rPr>
          <w:rFonts w:ascii="Times New Roman" w:eastAsia="Times New Roman" w:hAnsi="Times New Roman" w:cs="Times New Roman"/>
          <w:sz w:val="32"/>
          <w:szCs w:val="32"/>
          <w:lang w:eastAsia="ru-RU"/>
        </w:rPr>
        <w:t>ВИТАГЕРПАВАК</w:t>
      </w:r>
    </w:p>
    <w:p w:rsidR="005B6AE5" w:rsidRPr="008510BB" w:rsidRDefault="005B6AE5" w:rsidP="005B6AE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10BB">
        <w:rPr>
          <w:rStyle w:val="a3"/>
          <w:rFonts w:ascii="Times New Roman" w:hAnsi="Times New Roman" w:cs="Times New Roman"/>
          <w:sz w:val="28"/>
          <w:szCs w:val="28"/>
        </w:rPr>
        <w:t>Витагерпавак</w:t>
      </w:r>
      <w:proofErr w:type="spellEnd"/>
      <w:r w:rsidRPr="008510BB">
        <w:rPr>
          <w:rFonts w:ascii="Times New Roman" w:hAnsi="Times New Roman" w:cs="Times New Roman"/>
          <w:sz w:val="28"/>
          <w:szCs w:val="28"/>
        </w:rPr>
        <w:t xml:space="preserve"> — это вакцина герпетическая культурная инактивированная жидкая. Она предназначена для </w:t>
      </w:r>
      <w:r w:rsidRPr="008510BB">
        <w:rPr>
          <w:rStyle w:val="a3"/>
          <w:rFonts w:ascii="Times New Roman" w:hAnsi="Times New Roman" w:cs="Times New Roman"/>
          <w:sz w:val="28"/>
          <w:szCs w:val="28"/>
        </w:rPr>
        <w:t>профилактики рецидивов (повторных обострений)</w:t>
      </w:r>
      <w:r w:rsidRPr="008510BB">
        <w:rPr>
          <w:rFonts w:ascii="Times New Roman" w:hAnsi="Times New Roman" w:cs="Times New Roman"/>
          <w:sz w:val="28"/>
          <w:szCs w:val="28"/>
        </w:rPr>
        <w:t xml:space="preserve"> герпетической инфекции, вызываемой вирусами простого герпеса (ВПГ) </w:t>
      </w:r>
      <w:r w:rsidRPr="008510BB">
        <w:rPr>
          <w:rStyle w:val="a3"/>
          <w:rFonts w:ascii="Times New Roman" w:hAnsi="Times New Roman" w:cs="Times New Roman"/>
          <w:sz w:val="28"/>
          <w:szCs w:val="28"/>
        </w:rPr>
        <w:t>1 и 2 типов</w:t>
      </w:r>
      <w:r w:rsidRPr="008510BB">
        <w:rPr>
          <w:rFonts w:ascii="Times New Roman" w:hAnsi="Times New Roman" w:cs="Times New Roman"/>
          <w:sz w:val="28"/>
          <w:szCs w:val="28"/>
        </w:rPr>
        <w:t xml:space="preserve"> (герпес на губах и генитальный герпес).</w:t>
      </w:r>
    </w:p>
    <w:p w:rsidR="005B6AE5" w:rsidRPr="008510BB" w:rsidRDefault="005B6AE5" w:rsidP="005B6A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Снижение частоты, длительности и тяжести повторных обострений герпеса.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Внимание: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 применяется строго в период ремиссии (не ранее чем через 5 дней после полного исчезновения симптомов).</w:t>
      </w:r>
    </w:p>
    <w:p w:rsidR="005B6AE5" w:rsidRPr="008510BB" w:rsidRDefault="005B6AE5" w:rsidP="005B6A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Разрешена к применению у взрослых.</w:t>
      </w:r>
    </w:p>
    <w:p w:rsidR="005B6AE5" w:rsidRPr="008510BB" w:rsidRDefault="005B6AE5" w:rsidP="005B6A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 вакцинации:</w:t>
      </w:r>
    </w:p>
    <w:p w:rsidR="005B6AE5" w:rsidRPr="008510BB" w:rsidRDefault="005B6AE5" w:rsidP="005B6AE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курс состоит из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инъекций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вводят с интервалом в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дней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тяжелом течении интервал можно увеличить до 10–14 дней).</w:t>
      </w:r>
    </w:p>
    <w:p w:rsidR="005B6AE5" w:rsidRDefault="005B6AE5" w:rsidP="005B6AE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месяцев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 проводят повторный курс из 5 инъекций по той же схеме.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7336E"/>
    <w:multiLevelType w:val="multilevel"/>
    <w:tmpl w:val="7030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AE5"/>
    <w:rsid w:val="005B6AE5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71506-9B0B-49F7-9335-72DF5EE8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6A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2026-09-29T05:37:00Z</dcterms:created>
  <dcterms:modified xsi:type="dcterms:W3CDTF">2026-09-29T05:40:00Z</dcterms:modified>
</cp:coreProperties>
</file>